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6130F" w:val="clear"/>
        <w:spacing w:after="0" w:before="0"/>
        <w:jc w:val="center"/>
      </w:pPr>
      <w:r>
        <w:rPr>
          <w:sz w:val="4"/>
          <w:szCs w:val="4"/>
        </w:rPr>
        <w:t xml:space="preserve"/>
      </w:r>
    </w:p>
    <w:p>
      <w:pPr>
        <w:shd w:fill="16130F" w:val="clear"/>
        <w:spacing w:after="0" w:before="140"/>
        <w:jc w:val="center"/>
      </w:pPr>
      <w:r>
        <w:drawing>
          <wp:inline distT="0" distB="0" distL="0" distR="0">
            <wp:extent cx="628650" cy="571500"/>
            <wp:effectExtent t="0" r="0" b="0" l="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628650" cy="571500"/>
                    </a:xfrm>
                    <a:prstGeom prst="rect">
                      <a:avLst/>
                    </a:prstGeom>
                  </pic:spPr>
                </pic:pic>
              </a:graphicData>
            </a:graphic>
          </wp:inline>
        </w:drawing>
      </w:r>
    </w:p>
    <w:p>
      <w:pPr>
        <w:shd w:fill="16130F" w:val="clear"/>
        <w:spacing w:after="0" w:before="60"/>
        <w:jc w:val="center"/>
      </w:pPr>
      <w:r>
        <w:rPr>
          <w:rFonts w:ascii="Georgia" w:cs="Georgia" w:eastAsia="Georgia" w:hAnsi="Georgia"/>
          <w:b/>
          <w:bCs/>
          <w:color w:val="FFFFFF"/>
          <w:sz w:val="34"/>
          <w:szCs w:val="34"/>
        </w:rPr>
        <w:t xml:space="preserve">ANS IT India</w:t>
      </w:r>
      <w:r>
        <w:rPr>
          <w:rFonts w:ascii="Georgia" w:cs="Georgia" w:eastAsia="Georgia" w:hAnsi="Georgia"/>
          <w:color w:val="C0703C"/>
          <w:sz w:val="20"/>
          <w:szCs w:val="20"/>
        </w:rPr>
        <w:t xml:space="preserve">  Pvt. Ltd.</w:t>
      </w:r>
    </w:p>
    <w:p>
      <w:pPr>
        <w:shd w:fill="16130F" w:val="clear"/>
        <w:spacing w:after="140" w:before="30"/>
        <w:jc w:val="center"/>
      </w:pPr>
      <w:r>
        <w:rPr>
          <w:rFonts w:ascii="Calibri" w:cs="Calibri" w:eastAsia="Calibri" w:hAnsi="Calibri"/>
          <w:color w:val="B8B0A6"/>
          <w:sz w:val="15"/>
          <w:szCs w:val="15"/>
        </w:rPr>
        <w:t xml:space="preserve">BUILDING THE FUTURE OF CONNECTED OPERATIONS</w:t>
      </w:r>
    </w:p>
    <w:p>
      <w:pPr>
        <w:spacing w:after="20" w:before="200"/>
        <w:jc w:val="center"/>
      </w:pPr>
      <w:r>
        <w:rPr>
          <w:rFonts w:ascii="Georgia" w:cs="Georgia" w:eastAsia="Georgia" w:hAnsi="Georgia"/>
          <w:b/>
          <w:bCs/>
          <w:color w:val="16130F"/>
          <w:sz w:val="46"/>
          <w:szCs w:val="46"/>
        </w:rPr>
        <w:t xml:space="preserve">Procurement Executive</w:t>
      </w:r>
    </w:p>
    <w:p>
      <w:pPr>
        <w:pBdr>
          <w:bottom w:val="single" w:color="C0703C" w:sz="16" w:space="2"/>
        </w:pBdr>
        <w:spacing w:after="30" w:before="0"/>
        <w:jc w:val="center"/>
      </w:pPr>
      <w:r>
        <w:rPr>
          <w:sz w:val="2"/>
          <w:szCs w:val="2"/>
        </w:rPr>
        <w:t xml:space="preserve"/>
      </w:r>
    </w:p>
    <w:p>
      <w:pPr>
        <w:spacing w:after="160" w:before="40"/>
        <w:jc w:val="center"/>
      </w:pPr>
      <w:r>
        <w:rPr>
          <w:rFonts w:ascii="Calibri" w:cs="Calibri" w:eastAsia="Calibri" w:hAnsi="Calibri"/>
          <w:color w:val="6B6B6B"/>
          <w:sz w:val="15"/>
          <w:szCs w:val="15"/>
        </w:rPr>
        <w:t xml:space="preserve">DELIVERY &amp; OPERATIONS    ·    SURAT, GUJARAT    ·    FULL-TIME, PERMANENT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8CFC4" w:sz="4"/>
              <w:left w:val="single" w:color="D8CFC4" w:sz="4"/>
              <w:bottom w:val="single" w:color="D8CFC4" w:sz="4"/>
              <w:right w:val="single" w:color="D8CFC4" w:sz="4"/>
            </w:tcBorders>
            <w:shd w:fill="16130F" w:val="clear"/>
            <w:tcMar>
              <w:top w:type="dxa" w:w="90"/>
              <w:left w:type="dxa" w:w="160"/>
              <w:bottom w:type="dxa" w:w="90"/>
              <w:right w:type="dxa" w:w="160"/>
            </w:tcMar>
            <w:vAlign w:val="center"/>
          </w:tcPr>
          <w:p>
            <w:pPr>
              <w:jc w:val="center"/>
            </w:pPr>
            <w:r>
              <w:rPr>
                <w:rFonts w:ascii="Calibri" w:cs="Calibri" w:eastAsia="Calibri" w:hAnsi="Calibri"/>
                <w:b/>
                <w:bCs/>
                <w:color w:val="C0703C"/>
                <w:sz w:val="15"/>
                <w:szCs w:val="15"/>
              </w:rPr>
              <w:t xml:space="preserve">DEPARTMENT</w:t>
            </w:r>
          </w:p>
        </w:tc>
        <w:tc>
          <w:tcPr>
            <w:tcW w:type="dxa" w:w="2340"/>
            <w:tcBorders>
              <w:top w:val="single" w:color="D8CFC4" w:sz="4"/>
              <w:left w:val="single" w:color="D8CFC4" w:sz="4"/>
              <w:bottom w:val="single" w:color="D8CFC4" w:sz="4"/>
              <w:right w:val="single" w:color="D8CFC4" w:sz="4"/>
            </w:tcBorders>
            <w:shd w:fill="16130F" w:val="clear"/>
            <w:tcMar>
              <w:top w:type="dxa" w:w="90"/>
              <w:left w:type="dxa" w:w="160"/>
              <w:bottom w:type="dxa" w:w="90"/>
              <w:right w:type="dxa" w:w="160"/>
            </w:tcMar>
            <w:vAlign w:val="center"/>
          </w:tcPr>
          <w:p>
            <w:pPr>
              <w:jc w:val="center"/>
            </w:pPr>
            <w:r>
              <w:rPr>
                <w:rFonts w:ascii="Calibri" w:cs="Calibri" w:eastAsia="Calibri" w:hAnsi="Calibri"/>
                <w:b/>
                <w:bCs/>
                <w:color w:val="C0703C"/>
                <w:sz w:val="15"/>
                <w:szCs w:val="15"/>
              </w:rPr>
              <w:t xml:space="preserve">REPORTS TO</w:t>
            </w:r>
          </w:p>
        </w:tc>
        <w:tc>
          <w:tcPr>
            <w:tcW w:type="dxa" w:w="2340"/>
            <w:tcBorders>
              <w:top w:val="single" w:color="D8CFC4" w:sz="4"/>
              <w:left w:val="single" w:color="D8CFC4" w:sz="4"/>
              <w:bottom w:val="single" w:color="D8CFC4" w:sz="4"/>
              <w:right w:val="single" w:color="D8CFC4" w:sz="4"/>
            </w:tcBorders>
            <w:shd w:fill="16130F" w:val="clear"/>
            <w:tcMar>
              <w:top w:type="dxa" w:w="90"/>
              <w:left w:type="dxa" w:w="160"/>
              <w:bottom w:type="dxa" w:w="90"/>
              <w:right w:type="dxa" w:w="160"/>
            </w:tcMar>
            <w:vAlign w:val="center"/>
          </w:tcPr>
          <w:p>
            <w:pPr>
              <w:jc w:val="center"/>
            </w:pPr>
            <w:r>
              <w:rPr>
                <w:rFonts w:ascii="Calibri" w:cs="Calibri" w:eastAsia="Calibri" w:hAnsi="Calibri"/>
                <w:b/>
                <w:bCs/>
                <w:color w:val="C0703C"/>
                <w:sz w:val="15"/>
                <w:szCs w:val="15"/>
              </w:rPr>
              <w:t xml:space="preserve">GRADE</w:t>
            </w:r>
          </w:p>
        </w:tc>
        <w:tc>
          <w:tcPr>
            <w:tcW w:type="dxa" w:w="2340"/>
            <w:tcBorders>
              <w:top w:val="single" w:color="D8CFC4" w:sz="4"/>
              <w:left w:val="single" w:color="D8CFC4" w:sz="4"/>
              <w:bottom w:val="single" w:color="D8CFC4" w:sz="4"/>
              <w:right w:val="single" w:color="D8CFC4" w:sz="4"/>
            </w:tcBorders>
            <w:shd w:fill="16130F" w:val="clear"/>
            <w:tcMar>
              <w:top w:type="dxa" w:w="90"/>
              <w:left w:type="dxa" w:w="160"/>
              <w:bottom w:type="dxa" w:w="90"/>
              <w:right w:type="dxa" w:w="160"/>
            </w:tcMar>
            <w:vAlign w:val="center"/>
          </w:tcPr>
          <w:p>
            <w:pPr>
              <w:jc w:val="center"/>
            </w:pPr>
            <w:r>
              <w:rPr>
                <w:rFonts w:ascii="Calibri" w:cs="Calibri" w:eastAsia="Calibri" w:hAnsi="Calibri"/>
                <w:b/>
                <w:bCs/>
                <w:color w:val="C0703C"/>
                <w:sz w:val="15"/>
                <w:szCs w:val="15"/>
              </w:rPr>
              <w:t xml:space="preserve">LOCATION</w:t>
            </w:r>
          </w:p>
        </w:tc>
      </w:tr>
      <w:tr>
        <w:tc>
          <w:tcPr>
            <w:tcW w:type="dxa" w:w="2340"/>
            <w:tcBorders>
              <w:top w:val="single" w:color="D8CFC4" w:sz="4"/>
              <w:left w:val="single" w:color="D8CFC4" w:sz="4"/>
              <w:bottom w:val="single" w:color="D8CFC4" w:sz="4"/>
              <w:right w:val="single" w:color="D8CFC4" w:sz="4"/>
            </w:tcBorders>
            <w:shd w:fill="FFFFFF" w:val="clear"/>
            <w:tcMar>
              <w:top w:type="dxa" w:w="90"/>
              <w:left w:type="dxa" w:w="160"/>
              <w:bottom w:type="dxa" w:w="90"/>
              <w:right w:type="dxa" w:w="160"/>
            </w:tcMar>
            <w:vAlign w:val="center"/>
          </w:tcPr>
          <w:p>
            <w:pPr>
              <w:jc w:val="center"/>
            </w:pPr>
            <w:r>
              <w:rPr>
                <w:rFonts w:ascii="Calibri" w:cs="Calibri" w:eastAsia="Calibri" w:hAnsi="Calibri"/>
                <w:b/>
                <w:bCs/>
                <w:color w:val="16130F"/>
                <w:sz w:val="19"/>
                <w:szCs w:val="19"/>
              </w:rPr>
              <w:t xml:space="preserve">Delivery &amp; Operations</w:t>
            </w:r>
          </w:p>
        </w:tc>
        <w:tc>
          <w:tcPr>
            <w:tcW w:type="dxa" w:w="2340"/>
            <w:tcBorders>
              <w:top w:val="single" w:color="D8CFC4" w:sz="4"/>
              <w:left w:val="single" w:color="D8CFC4" w:sz="4"/>
              <w:bottom w:val="single" w:color="D8CFC4" w:sz="4"/>
              <w:right w:val="single" w:color="D8CFC4" w:sz="4"/>
            </w:tcBorders>
            <w:shd w:fill="FFFFFF" w:val="clear"/>
            <w:tcMar>
              <w:top w:type="dxa" w:w="90"/>
              <w:left w:type="dxa" w:w="160"/>
              <w:bottom w:type="dxa" w:w="90"/>
              <w:right w:type="dxa" w:w="160"/>
            </w:tcMar>
            <w:vAlign w:val="center"/>
          </w:tcPr>
          <w:p>
            <w:pPr>
              <w:jc w:val="center"/>
            </w:pPr>
            <w:r>
              <w:rPr>
                <w:rFonts w:ascii="Calibri" w:cs="Calibri" w:eastAsia="Calibri" w:hAnsi="Calibri"/>
                <w:b/>
                <w:bCs/>
                <w:color w:val="16130F"/>
                <w:sz w:val="19"/>
                <w:szCs w:val="19"/>
              </w:rPr>
              <w:t xml:space="preserve">Procurement Manager</w:t>
            </w:r>
          </w:p>
        </w:tc>
        <w:tc>
          <w:tcPr>
            <w:tcW w:type="dxa" w:w="2340"/>
            <w:tcBorders>
              <w:top w:val="single" w:color="D8CFC4" w:sz="4"/>
              <w:left w:val="single" w:color="D8CFC4" w:sz="4"/>
              <w:bottom w:val="single" w:color="D8CFC4" w:sz="4"/>
              <w:right w:val="single" w:color="D8CFC4" w:sz="4"/>
            </w:tcBorders>
            <w:shd w:fill="FFFFFF" w:val="clear"/>
            <w:tcMar>
              <w:top w:type="dxa" w:w="90"/>
              <w:left w:type="dxa" w:w="160"/>
              <w:bottom w:type="dxa" w:w="90"/>
              <w:right w:type="dxa" w:w="160"/>
            </w:tcMar>
            <w:vAlign w:val="center"/>
          </w:tcPr>
          <w:p>
            <w:pPr>
              <w:jc w:val="center"/>
            </w:pPr>
            <w:r>
              <w:rPr>
                <w:rFonts w:ascii="Calibri" w:cs="Calibri" w:eastAsia="Calibri" w:hAnsi="Calibri"/>
                <w:b/>
                <w:bCs/>
                <w:color w:val="16130F"/>
                <w:sz w:val="19"/>
                <w:szCs w:val="19"/>
              </w:rPr>
              <w:t xml:space="preserve">S1</w:t>
            </w:r>
          </w:p>
        </w:tc>
        <w:tc>
          <w:tcPr>
            <w:tcW w:type="dxa" w:w="2340"/>
            <w:tcBorders>
              <w:top w:val="single" w:color="D8CFC4" w:sz="4"/>
              <w:left w:val="single" w:color="D8CFC4" w:sz="4"/>
              <w:bottom w:val="single" w:color="D8CFC4" w:sz="4"/>
              <w:right w:val="single" w:color="D8CFC4" w:sz="4"/>
            </w:tcBorders>
            <w:shd w:fill="FFFFFF" w:val="clear"/>
            <w:tcMar>
              <w:top w:type="dxa" w:w="90"/>
              <w:left w:type="dxa" w:w="160"/>
              <w:bottom w:type="dxa" w:w="90"/>
              <w:right w:type="dxa" w:w="160"/>
            </w:tcMar>
            <w:vAlign w:val="center"/>
          </w:tcPr>
          <w:p>
            <w:pPr>
              <w:jc w:val="center"/>
            </w:pPr>
            <w:r>
              <w:rPr>
                <w:rFonts w:ascii="Calibri" w:cs="Calibri" w:eastAsia="Calibri" w:hAnsi="Calibri"/>
                <w:b/>
                <w:bCs/>
                <w:color w:val="16130F"/>
                <w:sz w:val="19"/>
                <w:szCs w:val="19"/>
              </w:rPr>
              <w:t xml:space="preserve">Surat, Gujarat</w:t>
            </w:r>
          </w:p>
        </w:tc>
      </w:tr>
    </w:tbl>
    <w:p>
      <w:pPr>
        <w:spacing w:after="30" w:before="260"/>
      </w:pPr>
      <w:r>
        <w:rPr>
          <w:rFonts w:ascii="Georgia" w:cs="Georgia" w:eastAsia="Georgia" w:hAnsi="Georgia"/>
          <w:b/>
          <w:bCs/>
          <w:color w:val="16130F"/>
          <w:sz w:val="26"/>
          <w:szCs w:val="26"/>
        </w:rPr>
        <w:t xml:space="preserve">About ANS IT India</w:t>
      </w:r>
    </w:p>
    <w:p>
      <w:pPr>
        <w:pBdr>
          <w:bottom w:val="single" w:color="C0703C" w:sz="14" w:space="1"/>
        </w:pBdr>
        <w:spacing w:after="120" w:before="0"/>
      </w:pPr>
      <w:r>
        <w:rPr>
          <w:sz w:val="2"/>
          <w:szCs w:val="2"/>
        </w:rPr>
        <w:t xml:space="preserve"/>
      </w:r>
    </w:p>
    <w:p>
      <w:pPr>
        <w:spacing w:after="60" w:before="60"/>
        <w:jc w:val="left"/>
      </w:pPr>
      <w:r>
        <w:rPr>
          <w:rFonts w:ascii="Calibri" w:cs="Calibri" w:eastAsia="Calibri" w:hAnsi="Calibri"/>
          <w:b w:val="false"/>
          <w:bCs w:val="false"/>
          <w:color w:val="1A1A1A"/>
          <w:sz w:val="20"/>
          <w:szCs w:val="20"/>
        </w:rPr>
        <w:t xml:space="preserve">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pPr>
        <w:spacing w:after="60" w:before="120"/>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8CFC4" w:sz="4"/>
              <w:left w:val="single" w:color="D8CFC4" w:sz="4"/>
              <w:bottom w:val="single" w:color="D8CFC4" w:sz="4"/>
              <w:right w:val="single" w:color="D8CFC4" w:sz="4"/>
            </w:tcBorders>
            <w:shd w:fill="16130F" w:val="clear"/>
            <w:tcMar>
              <w:top w:type="dxa" w:w="90"/>
              <w:left w:type="dxa" w:w="160"/>
              <w:bottom w:type="dxa" w:w="90"/>
              <w:right w:type="dxa" w:w="160"/>
            </w:tcMar>
            <w:vAlign w:val="center"/>
          </w:tcPr>
          <w:p>
            <w:pPr>
              <w:jc w:val="center"/>
            </w:pPr>
            <w:r>
              <w:rPr>
                <w:rFonts w:ascii="Georgia" w:cs="Georgia" w:eastAsia="Georgia" w:hAnsi="Georgia"/>
                <w:b/>
                <w:bCs/>
                <w:color w:val="C0703C"/>
                <w:sz w:val="34"/>
                <w:szCs w:val="34"/>
              </w:rPr>
              <w:t xml:space="preserve">15+</w:t>
            </w:r>
          </w:p>
        </w:tc>
        <w:tc>
          <w:tcPr>
            <w:tcW w:type="dxa" w:w="3120"/>
            <w:tcBorders>
              <w:top w:val="single" w:color="D8CFC4" w:sz="4"/>
              <w:left w:val="single" w:color="D8CFC4" w:sz="4"/>
              <w:bottom w:val="single" w:color="D8CFC4" w:sz="4"/>
              <w:right w:val="single" w:color="D8CFC4" w:sz="4"/>
            </w:tcBorders>
            <w:shd w:fill="16130F" w:val="clear"/>
            <w:tcMar>
              <w:top w:type="dxa" w:w="90"/>
              <w:left w:type="dxa" w:w="160"/>
              <w:bottom w:type="dxa" w:w="90"/>
              <w:right w:type="dxa" w:w="160"/>
            </w:tcMar>
            <w:vAlign w:val="center"/>
          </w:tcPr>
          <w:p>
            <w:pPr>
              <w:jc w:val="center"/>
            </w:pPr>
            <w:r>
              <w:rPr>
                <w:rFonts w:ascii="Georgia" w:cs="Georgia" w:eastAsia="Georgia" w:hAnsi="Georgia"/>
                <w:b/>
                <w:bCs/>
                <w:color w:val="C0703C"/>
                <w:sz w:val="34"/>
                <w:szCs w:val="34"/>
              </w:rPr>
              <w:t xml:space="preserve">200K+</w:t>
            </w:r>
          </w:p>
        </w:tc>
        <w:tc>
          <w:tcPr>
            <w:tcW w:type="dxa" w:w="3120"/>
            <w:tcBorders>
              <w:top w:val="single" w:color="D8CFC4" w:sz="4"/>
              <w:left w:val="single" w:color="D8CFC4" w:sz="4"/>
              <w:bottom w:val="single" w:color="D8CFC4" w:sz="4"/>
              <w:right w:val="single" w:color="D8CFC4" w:sz="4"/>
            </w:tcBorders>
            <w:shd w:fill="16130F" w:val="clear"/>
            <w:tcMar>
              <w:top w:type="dxa" w:w="90"/>
              <w:left w:type="dxa" w:w="160"/>
              <w:bottom w:type="dxa" w:w="90"/>
              <w:right w:type="dxa" w:w="160"/>
            </w:tcMar>
            <w:vAlign w:val="center"/>
          </w:tcPr>
          <w:p>
            <w:pPr>
              <w:jc w:val="center"/>
            </w:pPr>
            <w:r>
              <w:rPr>
                <w:rFonts w:ascii="Georgia" w:cs="Georgia" w:eastAsia="Georgia" w:hAnsi="Georgia"/>
                <w:b/>
                <w:bCs/>
                <w:color w:val="C0703C"/>
                <w:sz w:val="34"/>
                <w:szCs w:val="34"/>
              </w:rPr>
              <w:t xml:space="preserve">52+</w:t>
            </w:r>
          </w:p>
        </w:tc>
      </w:tr>
      <w:tr>
        <w:tc>
          <w:tcPr>
            <w:tcW w:type="dxa" w:w="3120"/>
            <w:tcBorders>
              <w:top w:val="single" w:color="D8CFC4" w:sz="4"/>
              <w:left w:val="single" w:color="D8CFC4" w:sz="4"/>
              <w:bottom w:val="single" w:color="D8CFC4" w:sz="4"/>
              <w:right w:val="single" w:color="D8CFC4" w:sz="4"/>
            </w:tcBorders>
            <w:shd w:fill="16130F" w:val="clear"/>
            <w:tcMar>
              <w:top w:type="dxa" w:w="90"/>
              <w:left w:type="dxa" w:w="160"/>
              <w:bottom w:type="dxa" w:w="90"/>
              <w:right w:type="dxa" w:w="160"/>
            </w:tcMar>
            <w:vAlign w:val="center"/>
          </w:tcPr>
          <w:p>
            <w:pPr>
              <w:jc w:val="center"/>
            </w:pPr>
            <w:r>
              <w:rPr>
                <w:rFonts w:ascii="Calibri" w:cs="Calibri" w:eastAsia="Calibri" w:hAnsi="Calibri"/>
                <w:b w:val="false"/>
                <w:bCs w:val="false"/>
                <w:color w:val="B8B0A6"/>
                <w:sz w:val="13"/>
                <w:szCs w:val="13"/>
              </w:rPr>
              <w:t xml:space="preserve">YEARS OF EXPERIENCE</w:t>
            </w:r>
          </w:p>
        </w:tc>
        <w:tc>
          <w:tcPr>
            <w:tcW w:type="dxa" w:w="3120"/>
            <w:tcBorders>
              <w:top w:val="single" w:color="D8CFC4" w:sz="4"/>
              <w:left w:val="single" w:color="D8CFC4" w:sz="4"/>
              <w:bottom w:val="single" w:color="D8CFC4" w:sz="4"/>
              <w:right w:val="single" w:color="D8CFC4" w:sz="4"/>
            </w:tcBorders>
            <w:shd w:fill="16130F" w:val="clear"/>
            <w:tcMar>
              <w:top w:type="dxa" w:w="90"/>
              <w:left w:type="dxa" w:w="160"/>
              <w:bottom w:type="dxa" w:w="90"/>
              <w:right w:type="dxa" w:w="160"/>
            </w:tcMar>
            <w:vAlign w:val="center"/>
          </w:tcPr>
          <w:p>
            <w:pPr>
              <w:jc w:val="center"/>
            </w:pPr>
            <w:r>
              <w:rPr>
                <w:rFonts w:ascii="Calibri" w:cs="Calibri" w:eastAsia="Calibri" w:hAnsi="Calibri"/>
                <w:b w:val="false"/>
                <w:bCs w:val="false"/>
                <w:color w:val="B8B0A6"/>
                <w:sz w:val="13"/>
                <w:szCs w:val="13"/>
              </w:rPr>
              <w:t xml:space="preserve">CONNECTED ASSETS</w:t>
            </w:r>
          </w:p>
        </w:tc>
        <w:tc>
          <w:tcPr>
            <w:tcW w:type="dxa" w:w="3120"/>
            <w:tcBorders>
              <w:top w:val="single" w:color="D8CFC4" w:sz="4"/>
              <w:left w:val="single" w:color="D8CFC4" w:sz="4"/>
              <w:bottom w:val="single" w:color="D8CFC4" w:sz="4"/>
              <w:right w:val="single" w:color="D8CFC4" w:sz="4"/>
            </w:tcBorders>
            <w:shd w:fill="16130F" w:val="clear"/>
            <w:tcMar>
              <w:top w:type="dxa" w:w="90"/>
              <w:left w:type="dxa" w:w="160"/>
              <w:bottom w:type="dxa" w:w="90"/>
              <w:right w:type="dxa" w:w="160"/>
            </w:tcMar>
            <w:vAlign w:val="center"/>
          </w:tcPr>
          <w:p>
            <w:pPr>
              <w:jc w:val="center"/>
            </w:pPr>
            <w:r>
              <w:rPr>
                <w:rFonts w:ascii="Calibri" w:cs="Calibri" w:eastAsia="Calibri" w:hAnsi="Calibri"/>
                <w:b w:val="false"/>
                <w:bCs w:val="false"/>
                <w:color w:val="B8B0A6"/>
                <w:sz w:val="13"/>
                <w:szCs w:val="13"/>
              </w:rPr>
              <w:t xml:space="preserve">URBAN LOCAL BODIES</w:t>
            </w:r>
          </w:p>
        </w:tc>
      </w:tr>
    </w:tbl>
    <w:p>
      <w:pPr>
        <w:spacing w:after="30" w:before="260"/>
      </w:pPr>
      <w:r>
        <w:rPr>
          <w:rFonts w:ascii="Georgia" w:cs="Georgia" w:eastAsia="Georgia" w:hAnsi="Georgia"/>
          <w:b/>
          <w:bCs/>
          <w:color w:val="16130F"/>
          <w:sz w:val="26"/>
          <w:szCs w:val="26"/>
        </w:rPr>
        <w:t xml:space="preserve">Role Purpose</w:t>
      </w:r>
    </w:p>
    <w:p>
      <w:pPr>
        <w:pBdr>
          <w:bottom w:val="single" w:color="C0703C" w:sz="14" w:space="1"/>
        </w:pBdr>
        <w:spacing w:after="120" w:before="0"/>
      </w:pPr>
      <w:r>
        <w:rPr>
          <w:sz w:val="2"/>
          <w:szCs w:val="2"/>
        </w:rPr>
        <w:t xml:space="preserve"/>
      </w:r>
    </w:p>
    <w:p>
      <w:pPr>
        <w:spacing w:after="60" w:before="60"/>
        <w:jc w:val="left"/>
      </w:pPr>
      <w:r>
        <w:rPr>
          <w:rFonts w:ascii="Calibri" w:cs="Calibri" w:eastAsia="Calibri" w:hAnsi="Calibri"/>
          <w:b w:val="false"/>
          <w:bCs w:val="false"/>
          <w:color w:val="1A1A1A"/>
          <w:sz w:val="21"/>
          <w:szCs w:val="21"/>
        </w:rPr>
        <w:t xml:space="preserve">The Procurement Executive supports day-to-day purchasing and inventory operations — processing purchase orders, following up with vendors, and maintaining accurate stock records. This role keeps the procurement engine running smoothly so projects and service never stall for want of materials.</w:t>
      </w:r>
    </w:p>
    <w:p>
      <w:pPr>
        <w:spacing w:after="30" w:before="260"/>
      </w:pPr>
      <w:r>
        <w:rPr>
          <w:rFonts w:ascii="Georgia" w:cs="Georgia" w:eastAsia="Georgia" w:hAnsi="Georgia"/>
          <w:b/>
          <w:bCs/>
          <w:color w:val="16130F"/>
          <w:sz w:val="26"/>
          <w:szCs w:val="26"/>
        </w:rPr>
        <w:t xml:space="preserve">Key Responsibilities</w:t>
      </w:r>
    </w:p>
    <w:p>
      <w:pPr>
        <w:pBdr>
          <w:bottom w:val="single" w:color="C0703C" w:sz="14" w:space="1"/>
        </w:pBdr>
        <w:spacing w:after="120" w:before="0"/>
      </w:pPr>
      <w:r>
        <w:rPr>
          <w:sz w:val="2"/>
          <w:szCs w:val="2"/>
        </w:rPr>
        <w:t xml:space="preserve"/>
      </w:r>
    </w:p>
    <w:p>
      <w:pPr>
        <w:pStyle w:val="ListParagraph"/>
        <w:numPr>
          <w:ilvl w:val="0"/>
          <w:numId w:val="2"/>
        </w:numPr>
        <w:spacing w:after="50" w:before="50"/>
      </w:pPr>
      <w:r>
        <w:rPr>
          <w:rFonts w:ascii="Calibri" w:cs="Calibri" w:eastAsia="Calibri" w:hAnsi="Calibri"/>
          <w:b w:val="false"/>
          <w:bCs w:val="false"/>
          <w:color w:val="1A1A1A"/>
          <w:sz w:val="21"/>
          <w:szCs w:val="21"/>
        </w:rPr>
        <w:t xml:space="preserve">Process purchase orders and coordinate with vendors on order fulfilment.</w:t>
      </w:r>
    </w:p>
    <w:p>
      <w:pPr>
        <w:pStyle w:val="ListParagraph"/>
        <w:numPr>
          <w:ilvl w:val="0"/>
          <w:numId w:val="2"/>
        </w:numPr>
        <w:spacing w:after="50" w:before="50"/>
      </w:pPr>
      <w:r>
        <w:rPr>
          <w:rFonts w:ascii="Calibri" w:cs="Calibri" w:eastAsia="Calibri" w:hAnsi="Calibri"/>
          <w:b w:val="false"/>
          <w:bCs w:val="false"/>
          <w:color w:val="1A1A1A"/>
          <w:sz w:val="21"/>
          <w:szCs w:val="21"/>
        </w:rPr>
        <w:t xml:space="preserve">Follow up with suppliers on delivery timelines and resolve delays.</w:t>
      </w:r>
    </w:p>
    <w:p>
      <w:pPr>
        <w:pStyle w:val="ListParagraph"/>
        <w:numPr>
          <w:ilvl w:val="0"/>
          <w:numId w:val="2"/>
        </w:numPr>
        <w:spacing w:after="50" w:before="50"/>
      </w:pPr>
      <w:r>
        <w:rPr>
          <w:rFonts w:ascii="Calibri" w:cs="Calibri" w:eastAsia="Calibri" w:hAnsi="Calibri"/>
          <w:b w:val="false"/>
          <w:bCs w:val="false"/>
          <w:color w:val="1A1A1A"/>
          <w:sz w:val="21"/>
          <w:szCs w:val="21"/>
        </w:rPr>
        <w:t xml:space="preserve">Receive, verify and record incoming stock (GRN) accurately.</w:t>
      </w:r>
    </w:p>
    <w:p>
      <w:pPr>
        <w:pStyle w:val="ListParagraph"/>
        <w:numPr>
          <w:ilvl w:val="0"/>
          <w:numId w:val="2"/>
        </w:numPr>
        <w:spacing w:after="50" w:before="50"/>
      </w:pPr>
      <w:r>
        <w:rPr>
          <w:rFonts w:ascii="Calibri" w:cs="Calibri" w:eastAsia="Calibri" w:hAnsi="Calibri"/>
          <w:b w:val="false"/>
          <w:bCs w:val="false"/>
          <w:color w:val="1A1A1A"/>
          <w:sz w:val="21"/>
          <w:szCs w:val="21"/>
        </w:rPr>
        <w:t xml:space="preserve">Maintain up-to-date inventory and procurement records.</w:t>
      </w:r>
    </w:p>
    <w:p>
      <w:pPr>
        <w:pStyle w:val="ListParagraph"/>
        <w:numPr>
          <w:ilvl w:val="0"/>
          <w:numId w:val="2"/>
        </w:numPr>
        <w:spacing w:after="50" w:before="50"/>
      </w:pPr>
      <w:r>
        <w:rPr>
          <w:rFonts w:ascii="Calibri" w:cs="Calibri" w:eastAsia="Calibri" w:hAnsi="Calibri"/>
          <w:b w:val="false"/>
          <w:bCs w:val="false"/>
          <w:color w:val="1A1A1A"/>
          <w:sz w:val="21"/>
          <w:szCs w:val="21"/>
        </w:rPr>
        <w:t xml:space="preserve">Support vendor evaluation and price comparisons.</w:t>
      </w:r>
    </w:p>
    <w:p>
      <w:pPr>
        <w:pStyle w:val="ListParagraph"/>
        <w:numPr>
          <w:ilvl w:val="0"/>
          <w:numId w:val="2"/>
        </w:numPr>
        <w:spacing w:after="50" w:before="50"/>
      </w:pPr>
      <w:r>
        <w:rPr>
          <w:rFonts w:ascii="Calibri" w:cs="Calibri" w:eastAsia="Calibri" w:hAnsi="Calibri"/>
          <w:b w:val="false"/>
          <w:bCs w:val="false"/>
          <w:color w:val="1A1A1A"/>
          <w:sz w:val="21"/>
          <w:szCs w:val="21"/>
        </w:rPr>
        <w:t xml:space="preserve">Coordinate dispatch of devices and materials to sites and field teams.</w:t>
      </w:r>
    </w:p>
    <w:p>
      <w:pPr>
        <w:spacing w:after="30" w:before="260"/>
      </w:pPr>
      <w:r>
        <w:rPr>
          <w:rFonts w:ascii="Georgia" w:cs="Georgia" w:eastAsia="Georgia" w:hAnsi="Georgia"/>
          <w:b/>
          <w:bCs/>
          <w:color w:val="16130F"/>
          <w:sz w:val="26"/>
          <w:szCs w:val="26"/>
        </w:rPr>
        <w:t xml:space="preserve">Key Result Areas</w:t>
      </w:r>
    </w:p>
    <w:p>
      <w:pPr>
        <w:pBdr>
          <w:bottom w:val="single" w:color="C0703C" w:sz="14" w:space="1"/>
        </w:pBdr>
        <w:spacing w:after="120" w:before="0"/>
      </w:pPr>
      <w:r>
        <w:rPr>
          <w:sz w:val="2"/>
          <w:szCs w:val="2"/>
        </w:rPr>
        <w:t xml:space="preserve"/>
      </w:r>
    </w:p>
    <w:p>
      <w:pPr>
        <w:pStyle w:val="ListParagraph"/>
        <w:numPr>
          <w:ilvl w:val="0"/>
          <w:numId w:val="2"/>
        </w:numPr>
        <w:spacing w:after="50" w:before="50"/>
      </w:pPr>
      <w:r>
        <w:rPr>
          <w:rFonts w:ascii="Calibri" w:cs="Calibri" w:eastAsia="Calibri" w:hAnsi="Calibri"/>
          <w:b w:val="false"/>
          <w:bCs w:val="false"/>
          <w:color w:val="1A1A1A"/>
          <w:sz w:val="21"/>
          <w:szCs w:val="21"/>
        </w:rPr>
        <w:t xml:space="preserve">Purchase-order processing accuracy and speed</w:t>
      </w:r>
    </w:p>
    <w:p>
      <w:pPr>
        <w:pStyle w:val="ListParagraph"/>
        <w:numPr>
          <w:ilvl w:val="0"/>
          <w:numId w:val="2"/>
        </w:numPr>
        <w:spacing w:after="50" w:before="50"/>
      </w:pPr>
      <w:r>
        <w:rPr>
          <w:rFonts w:ascii="Calibri" w:cs="Calibri" w:eastAsia="Calibri" w:hAnsi="Calibri"/>
          <w:b w:val="false"/>
          <w:bCs w:val="false"/>
          <w:color w:val="1A1A1A"/>
          <w:sz w:val="21"/>
          <w:szCs w:val="21"/>
        </w:rPr>
        <w:t xml:space="preserve">Vendor follow-up and delivery tracking</w:t>
      </w:r>
    </w:p>
    <w:p>
      <w:pPr>
        <w:pStyle w:val="ListParagraph"/>
        <w:numPr>
          <w:ilvl w:val="0"/>
          <w:numId w:val="2"/>
        </w:numPr>
        <w:spacing w:after="50" w:before="50"/>
      </w:pPr>
      <w:r>
        <w:rPr>
          <w:rFonts w:ascii="Calibri" w:cs="Calibri" w:eastAsia="Calibri" w:hAnsi="Calibri"/>
          <w:b w:val="false"/>
          <w:bCs w:val="false"/>
          <w:color w:val="1A1A1A"/>
          <w:sz w:val="21"/>
          <w:szCs w:val="21"/>
        </w:rPr>
        <w:t xml:space="preserve">Goods receipt and inventory-record accuracy</w:t>
      </w:r>
    </w:p>
    <w:p>
      <w:pPr>
        <w:pStyle w:val="ListParagraph"/>
        <w:numPr>
          <w:ilvl w:val="0"/>
          <w:numId w:val="2"/>
        </w:numPr>
        <w:spacing w:after="50" w:before="50"/>
      </w:pPr>
      <w:r>
        <w:rPr>
          <w:rFonts w:ascii="Calibri" w:cs="Calibri" w:eastAsia="Calibri" w:hAnsi="Calibri"/>
          <w:b w:val="false"/>
          <w:bCs w:val="false"/>
          <w:color w:val="1A1A1A"/>
          <w:sz w:val="21"/>
          <w:szCs w:val="21"/>
        </w:rPr>
        <w:t xml:space="preserve">Dispatch coordination</w:t>
      </w:r>
    </w:p>
    <w:p>
      <w:pPr>
        <w:spacing w:after="30" w:before="260"/>
      </w:pPr>
      <w:r>
        <w:rPr>
          <w:rFonts w:ascii="Georgia" w:cs="Georgia" w:eastAsia="Georgia" w:hAnsi="Georgia"/>
          <w:b/>
          <w:bCs/>
          <w:color w:val="16130F"/>
          <w:sz w:val="26"/>
          <w:szCs w:val="26"/>
        </w:rPr>
        <w:t xml:space="preserve">Qualifications &amp; Experience</w:t>
      </w:r>
    </w:p>
    <w:p>
      <w:pPr>
        <w:pBdr>
          <w:bottom w:val="single" w:color="C0703C" w:sz="14" w:space="1"/>
        </w:pBdr>
        <w:spacing w:after="120" w:before="0"/>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D8CFC4" w:sz="4"/>
              <w:left w:val="single" w:color="D8CFC4" w:sz="4"/>
              <w:bottom w:val="single" w:color="D8CFC4" w:sz="4"/>
              <w:right w:val="single" w:color="D8CFC4" w:sz="4"/>
            </w:tcBorders>
            <w:shd w:fill="E8D5C4" w:val="clear"/>
            <w:tcMar>
              <w:top w:type="dxa" w:w="90"/>
              <w:left w:type="dxa" w:w="160"/>
              <w:bottom w:type="dxa" w:w="90"/>
              <w:right w:type="dxa" w:w="160"/>
            </w:tcMar>
            <w:vAlign w:val="center"/>
          </w:tcPr>
          <w:p>
            <w:pPr>
              <w:jc w:val="left"/>
            </w:pPr>
            <w:r>
              <w:rPr>
                <w:rFonts w:ascii="Calibri" w:cs="Calibri" w:eastAsia="Calibri" w:hAnsi="Calibri"/>
                <w:b/>
                <w:bCs/>
                <w:color w:val="16130F"/>
                <w:sz w:val="20"/>
                <w:szCs w:val="20"/>
              </w:rPr>
              <w:t xml:space="preserve">Education</w:t>
            </w:r>
          </w:p>
        </w:tc>
        <w:tc>
          <w:tcPr>
            <w:tcW w:type="dxa" w:w="6760"/>
            <w:tcBorders>
              <w:top w:val="single" w:color="D8CFC4" w:sz="4"/>
              <w:left w:val="single" w:color="D8CFC4" w:sz="4"/>
              <w:bottom w:val="single" w:color="D8CFC4" w:sz="4"/>
              <w:right w:val="single" w:color="D8CFC4" w:sz="4"/>
            </w:tcBorders>
            <w:shd w:fill="FFFFFF" w:val="clear"/>
            <w:tcMar>
              <w:top w:type="dxa" w:w="90"/>
              <w:left w:type="dxa" w:w="160"/>
              <w:bottom w:type="dxa" w:w="90"/>
              <w:right w:type="dxa" w:w="160"/>
            </w:tcMar>
            <w:vAlign w:val="center"/>
          </w:tcPr>
          <w:p>
            <w:pPr>
              <w:jc w:val="left"/>
            </w:pPr>
            <w:r>
              <w:rPr>
                <w:rFonts w:ascii="Calibri" w:cs="Calibri" w:eastAsia="Calibri" w:hAnsi="Calibri"/>
                <w:b w:val="false"/>
                <w:bCs w:val="false"/>
                <w:color w:val="1A1A1A"/>
                <w:sz w:val="20"/>
                <w:szCs w:val="20"/>
              </w:rPr>
              <w:t xml:space="preserve">Graduate in any discipline.</w:t>
            </w:r>
          </w:p>
        </w:tc>
      </w:tr>
      <w:tr>
        <w:tc>
          <w:tcPr>
            <w:tcW w:type="dxa" w:w="2600"/>
            <w:tcBorders>
              <w:top w:val="single" w:color="D8CFC4" w:sz="4"/>
              <w:left w:val="single" w:color="D8CFC4" w:sz="4"/>
              <w:bottom w:val="single" w:color="D8CFC4" w:sz="4"/>
              <w:right w:val="single" w:color="D8CFC4" w:sz="4"/>
            </w:tcBorders>
            <w:shd w:fill="FAF7F2" w:val="clear"/>
            <w:tcMar>
              <w:top w:type="dxa" w:w="90"/>
              <w:left w:type="dxa" w:w="160"/>
              <w:bottom w:type="dxa" w:w="90"/>
              <w:right w:type="dxa" w:w="160"/>
            </w:tcMar>
            <w:vAlign w:val="center"/>
          </w:tcPr>
          <w:p>
            <w:pPr>
              <w:jc w:val="left"/>
            </w:pPr>
            <w:r>
              <w:rPr>
                <w:rFonts w:ascii="Calibri" w:cs="Calibri" w:eastAsia="Calibri" w:hAnsi="Calibri"/>
                <w:b/>
                <w:bCs/>
                <w:color w:val="16130F"/>
                <w:sz w:val="20"/>
                <w:szCs w:val="20"/>
              </w:rPr>
              <w:t xml:space="preserve">Experience</w:t>
            </w:r>
          </w:p>
        </w:tc>
        <w:tc>
          <w:tcPr>
            <w:tcW w:type="dxa" w:w="6760"/>
            <w:tcBorders>
              <w:top w:val="single" w:color="D8CFC4" w:sz="4"/>
              <w:left w:val="single" w:color="D8CFC4" w:sz="4"/>
              <w:bottom w:val="single" w:color="D8CFC4" w:sz="4"/>
              <w:right w:val="single" w:color="D8CFC4" w:sz="4"/>
            </w:tcBorders>
            <w:shd w:fill="FAF7F2" w:val="clear"/>
            <w:tcMar>
              <w:top w:type="dxa" w:w="90"/>
              <w:left w:type="dxa" w:w="160"/>
              <w:bottom w:type="dxa" w:w="90"/>
              <w:right w:type="dxa" w:w="160"/>
            </w:tcMar>
            <w:vAlign w:val="center"/>
          </w:tcPr>
          <w:p>
            <w:pPr>
              <w:jc w:val="left"/>
            </w:pPr>
            <w:r>
              <w:rPr>
                <w:rFonts w:ascii="Calibri" w:cs="Calibri" w:eastAsia="Calibri" w:hAnsi="Calibri"/>
                <w:b w:val="false"/>
                <w:bCs w:val="false"/>
                <w:color w:val="1A1A1A"/>
                <w:sz w:val="20"/>
                <w:szCs w:val="20"/>
              </w:rPr>
              <w:t xml:space="preserve">1–3 years in procurement, purchasing or inventory support; freshers may apply.</w:t>
            </w:r>
          </w:p>
        </w:tc>
      </w:tr>
      <w:tr>
        <w:tc>
          <w:tcPr>
            <w:tcW w:type="dxa" w:w="2600"/>
            <w:tcBorders>
              <w:top w:val="single" w:color="D8CFC4" w:sz="4"/>
              <w:left w:val="single" w:color="D8CFC4" w:sz="4"/>
              <w:bottom w:val="single" w:color="D8CFC4" w:sz="4"/>
              <w:right w:val="single" w:color="D8CFC4" w:sz="4"/>
            </w:tcBorders>
            <w:shd w:fill="E8D5C4" w:val="clear"/>
            <w:tcMar>
              <w:top w:type="dxa" w:w="90"/>
              <w:left w:type="dxa" w:w="160"/>
              <w:bottom w:type="dxa" w:w="90"/>
              <w:right w:type="dxa" w:w="160"/>
            </w:tcMar>
            <w:vAlign w:val="center"/>
          </w:tcPr>
          <w:p>
            <w:pPr>
              <w:jc w:val="left"/>
            </w:pPr>
            <w:r>
              <w:rPr>
                <w:rFonts w:ascii="Calibri" w:cs="Calibri" w:eastAsia="Calibri" w:hAnsi="Calibri"/>
                <w:b/>
                <w:bCs/>
                <w:color w:val="16130F"/>
                <w:sz w:val="20"/>
                <w:szCs w:val="20"/>
              </w:rPr>
              <w:t xml:space="preserve">Industry</w:t>
            </w:r>
          </w:p>
        </w:tc>
        <w:tc>
          <w:tcPr>
            <w:tcW w:type="dxa" w:w="6760"/>
            <w:tcBorders>
              <w:top w:val="single" w:color="D8CFC4" w:sz="4"/>
              <w:left w:val="single" w:color="D8CFC4" w:sz="4"/>
              <w:bottom w:val="single" w:color="D8CFC4" w:sz="4"/>
              <w:right w:val="single" w:color="D8CFC4" w:sz="4"/>
            </w:tcBorders>
            <w:shd w:fill="FFFFFF" w:val="clear"/>
            <w:tcMar>
              <w:top w:type="dxa" w:w="90"/>
              <w:left w:type="dxa" w:w="160"/>
              <w:bottom w:type="dxa" w:w="90"/>
              <w:right w:type="dxa" w:w="160"/>
            </w:tcMar>
            <w:vAlign w:val="center"/>
          </w:tcPr>
          <w:p>
            <w:pPr>
              <w:jc w:val="left"/>
            </w:pPr>
            <w:r>
              <w:rPr>
                <w:rFonts w:ascii="Calibri" w:cs="Calibri" w:eastAsia="Calibri" w:hAnsi="Calibri"/>
                <w:b w:val="false"/>
                <w:bCs w:val="false"/>
                <w:color w:val="1A1A1A"/>
                <w:sz w:val="20"/>
                <w:szCs w:val="20"/>
              </w:rPr>
              <w:t xml:space="preserve">Hardware, electronics or technology procurement an advantage.</w:t>
            </w:r>
          </w:p>
        </w:tc>
      </w:tr>
    </w:tbl>
    <w:p>
      <w:pPr>
        <w:spacing w:after="30" w:before="260"/>
      </w:pPr>
      <w:r>
        <w:rPr>
          <w:rFonts w:ascii="Georgia" w:cs="Georgia" w:eastAsia="Georgia" w:hAnsi="Georgia"/>
          <w:b/>
          <w:bCs/>
          <w:color w:val="16130F"/>
          <w:sz w:val="26"/>
          <w:szCs w:val="26"/>
        </w:rPr>
        <w:t xml:space="preserve">Skills &amp; Competencies</w:t>
      </w:r>
    </w:p>
    <w:p>
      <w:pPr>
        <w:pBdr>
          <w:bottom w:val="single" w:color="C0703C" w:sz="14" w:space="1"/>
        </w:pBdr>
        <w:spacing w:after="120" w:before="0"/>
      </w:pPr>
      <w:r>
        <w:rPr>
          <w:sz w:val="2"/>
          <w:szCs w:val="2"/>
        </w:rPr>
        <w:t xml:space="preserve"/>
      </w:r>
    </w:p>
    <w:p>
      <w:pPr>
        <w:pStyle w:val="ListParagraph"/>
        <w:numPr>
          <w:ilvl w:val="0"/>
          <w:numId w:val="2"/>
        </w:numPr>
        <w:spacing w:after="50" w:before="50"/>
      </w:pPr>
      <w:r>
        <w:rPr>
          <w:rFonts w:ascii="Calibri" w:cs="Calibri" w:eastAsia="Calibri" w:hAnsi="Calibri"/>
          <w:b w:val="false"/>
          <w:bCs w:val="false"/>
          <w:color w:val="1A1A1A"/>
          <w:sz w:val="21"/>
          <w:szCs w:val="21"/>
        </w:rPr>
        <w:t xml:space="preserve">Organized, accurate and process-disciplined</w:t>
      </w:r>
    </w:p>
    <w:p>
      <w:pPr>
        <w:pStyle w:val="ListParagraph"/>
        <w:numPr>
          <w:ilvl w:val="0"/>
          <w:numId w:val="2"/>
        </w:numPr>
        <w:spacing w:after="50" w:before="50"/>
      </w:pPr>
      <w:r>
        <w:rPr>
          <w:rFonts w:ascii="Calibri" w:cs="Calibri" w:eastAsia="Calibri" w:hAnsi="Calibri"/>
          <w:b w:val="false"/>
          <w:bCs w:val="false"/>
          <w:color w:val="1A1A1A"/>
          <w:sz w:val="21"/>
          <w:szCs w:val="21"/>
        </w:rPr>
        <w:t xml:space="preserve">Good vendor-coordination and follow-up skills</w:t>
      </w:r>
    </w:p>
    <w:p>
      <w:pPr>
        <w:pStyle w:val="ListParagraph"/>
        <w:numPr>
          <w:ilvl w:val="0"/>
          <w:numId w:val="2"/>
        </w:numPr>
        <w:spacing w:after="50" w:before="50"/>
      </w:pPr>
      <w:r>
        <w:rPr>
          <w:rFonts w:ascii="Calibri" w:cs="Calibri" w:eastAsia="Calibri" w:hAnsi="Calibri"/>
          <w:b w:val="false"/>
          <w:bCs w:val="false"/>
          <w:color w:val="1A1A1A"/>
          <w:sz w:val="21"/>
          <w:szCs w:val="21"/>
        </w:rPr>
        <w:t xml:space="preserve">Comfort with inventory and procurement records</w:t>
      </w:r>
    </w:p>
    <w:p>
      <w:pPr>
        <w:pStyle w:val="ListParagraph"/>
        <w:numPr>
          <w:ilvl w:val="0"/>
          <w:numId w:val="2"/>
        </w:numPr>
        <w:spacing w:after="50" w:before="50"/>
      </w:pPr>
      <w:r>
        <w:rPr>
          <w:rFonts w:ascii="Calibri" w:cs="Calibri" w:eastAsia="Calibri" w:hAnsi="Calibri"/>
          <w:b w:val="false"/>
          <w:bCs w:val="false"/>
          <w:color w:val="1A1A1A"/>
          <w:sz w:val="21"/>
          <w:szCs w:val="21"/>
        </w:rPr>
        <w:t xml:space="preserve">Basic commercial and negotiation awareness</w:t>
      </w:r>
    </w:p>
    <w:p>
      <w:pPr>
        <w:pStyle w:val="ListParagraph"/>
        <w:numPr>
          <w:ilvl w:val="0"/>
          <w:numId w:val="2"/>
        </w:numPr>
        <w:spacing w:after="50" w:before="50"/>
      </w:pPr>
      <w:r>
        <w:rPr>
          <w:rFonts w:ascii="Calibri" w:cs="Calibri" w:eastAsia="Calibri" w:hAnsi="Calibri"/>
          <w:b w:val="false"/>
          <w:bCs w:val="false"/>
          <w:color w:val="1A1A1A"/>
          <w:sz w:val="21"/>
          <w:szCs w:val="21"/>
        </w:rPr>
        <w:t xml:space="preserve">Proficiency with MS Office and procurement tools</w:t>
      </w:r>
    </w:p>
    <w:p>
      <w:pPr>
        <w:spacing w:after="30" w:before="260"/>
      </w:pPr>
      <w:r>
        <w:rPr>
          <w:rFonts w:ascii="Georgia" w:cs="Georgia" w:eastAsia="Georgia" w:hAnsi="Georgia"/>
          <w:b/>
          <w:bCs/>
          <w:color w:val="16130F"/>
          <w:sz w:val="26"/>
          <w:szCs w:val="26"/>
        </w:rPr>
        <w:t xml:space="preserve">What We Offer</w:t>
      </w:r>
    </w:p>
    <w:p>
      <w:pPr>
        <w:pBdr>
          <w:bottom w:val="single" w:color="C0703C" w:sz="14" w:space="1"/>
        </w:pBdr>
        <w:spacing w:after="120" w:before="0"/>
      </w:pPr>
      <w:r>
        <w:rPr>
          <w:sz w:val="2"/>
          <w:szCs w:val="2"/>
        </w:rPr>
        <w:t xml:space="preserve"/>
      </w:r>
    </w:p>
    <w:p>
      <w:pPr>
        <w:pStyle w:val="ListParagraph"/>
        <w:numPr>
          <w:ilvl w:val="0"/>
          <w:numId w:val="2"/>
        </w:numPr>
        <w:spacing w:after="50" w:before="50"/>
      </w:pPr>
      <w:r>
        <w:rPr>
          <w:rFonts w:ascii="Calibri" w:cs="Calibri" w:eastAsia="Calibri" w:hAnsi="Calibri"/>
          <w:b w:val="false"/>
          <w:bCs w:val="false"/>
          <w:color w:val="16130F"/>
          <w:sz w:val="21"/>
          <w:szCs w:val="21"/>
        </w:rPr>
        <w:t xml:space="preserve">Competitive salary with performance-linked annual increments tied to individual and company performance</w:t>
      </w:r>
    </w:p>
    <w:p>
      <w:pPr>
        <w:pStyle w:val="ListParagraph"/>
        <w:numPr>
          <w:ilvl w:val="0"/>
          <w:numId w:val="2"/>
        </w:numPr>
        <w:spacing w:after="50" w:before="50"/>
      </w:pPr>
      <w:r>
        <w:rPr>
          <w:rFonts w:ascii="Calibri" w:cs="Calibri" w:eastAsia="Calibri" w:hAnsi="Calibri"/>
          <w:b w:val="false"/>
          <w:bCs w:val="false"/>
          <w:color w:val="16130F"/>
          <w:sz w:val="21"/>
          <w:szCs w:val="21"/>
        </w:rPr>
        <w:t xml:space="preserve">Clear, merit-based career progression and promotion framework</w:t>
      </w:r>
    </w:p>
    <w:p>
      <w:pPr>
        <w:pStyle w:val="ListParagraph"/>
        <w:numPr>
          <w:ilvl w:val="0"/>
          <w:numId w:val="2"/>
        </w:numPr>
        <w:spacing w:after="50" w:before="50"/>
      </w:pPr>
      <w:r>
        <w:rPr>
          <w:rFonts w:ascii="Calibri" w:cs="Calibri" w:eastAsia="Calibri" w:hAnsi="Calibri"/>
          <w:b w:val="false"/>
          <w:bCs w:val="false"/>
          <w:color w:val="16130F"/>
          <w:sz w:val="21"/>
          <w:szCs w:val="21"/>
        </w:rPr>
        <w:t xml:space="preserve">Performance recognition programmes — Star of the Month, Rockstar of the Month and On-the-Spot awards</w:t>
      </w:r>
    </w:p>
    <w:p>
      <w:pPr>
        <w:pStyle w:val="ListParagraph"/>
        <w:numPr>
          <w:ilvl w:val="0"/>
          <w:numId w:val="2"/>
        </w:numPr>
        <w:spacing w:after="50" w:before="50"/>
      </w:pPr>
      <w:r>
        <w:rPr>
          <w:rFonts w:ascii="Calibri" w:cs="Calibri" w:eastAsia="Calibri" w:hAnsi="Calibri"/>
          <w:b w:val="false"/>
          <w:bCs w:val="false"/>
          <w:color w:val="16130F"/>
          <w:sz w:val="21"/>
          <w:szCs w:val="21"/>
        </w:rPr>
        <w:t xml:space="preserve">Privilege, Casual and Sick leave as per company policy, plus restricted and flexible holidays</w:t>
      </w:r>
    </w:p>
    <w:p>
      <w:pPr>
        <w:pStyle w:val="ListParagraph"/>
        <w:numPr>
          <w:ilvl w:val="0"/>
          <w:numId w:val="2"/>
        </w:numPr>
        <w:spacing w:after="50" w:before="50"/>
      </w:pPr>
      <w:r>
        <w:rPr>
          <w:rFonts w:ascii="Calibri" w:cs="Calibri" w:eastAsia="Calibri" w:hAnsi="Calibri"/>
          <w:b w:val="false"/>
          <w:bCs w:val="false"/>
          <w:color w:val="16130F"/>
          <w:sz w:val="21"/>
          <w:szCs w:val="21"/>
        </w:rPr>
        <w:t xml:space="preserve">Provident Fund, Gratuity and statutory benefits as per applicable law</w:t>
      </w:r>
    </w:p>
    <w:p>
      <w:pPr>
        <w:pStyle w:val="ListParagraph"/>
        <w:numPr>
          <w:ilvl w:val="0"/>
          <w:numId w:val="2"/>
        </w:numPr>
        <w:spacing w:after="50" w:before="50"/>
      </w:pPr>
      <w:r>
        <w:rPr>
          <w:rFonts w:ascii="Calibri" w:cs="Calibri" w:eastAsia="Calibri" w:hAnsi="Calibri"/>
          <w:b w:val="false"/>
          <w:bCs w:val="false"/>
          <w:color w:val="16130F"/>
          <w:sz w:val="21"/>
          <w:szCs w:val="21"/>
        </w:rPr>
        <w:t xml:space="preserve">Professional certification and training reimbursement for role-relevant development</w:t>
      </w:r>
    </w:p>
    <w:p>
      <w:pPr>
        <w:pStyle w:val="ListParagraph"/>
        <w:numPr>
          <w:ilvl w:val="0"/>
          <w:numId w:val="2"/>
        </w:numPr>
        <w:spacing w:after="50" w:before="50"/>
      </w:pPr>
      <w:r>
        <w:rPr>
          <w:rFonts w:ascii="Calibri" w:cs="Calibri" w:eastAsia="Calibri" w:hAnsi="Calibri"/>
          <w:b w:val="false"/>
          <w:bCs w:val="false"/>
          <w:color w:val="16130F"/>
          <w:sz w:val="21"/>
          <w:szCs w:val="21"/>
        </w:rPr>
        <w:t xml:space="preserve">Employee referral rewards and regular employee engagement activities</w:t>
      </w:r>
    </w:p>
    <w:p>
      <w:pPr>
        <w:pStyle w:val="ListParagraph"/>
        <w:numPr>
          <w:ilvl w:val="0"/>
          <w:numId w:val="2"/>
        </w:numPr>
        <w:spacing w:after="50" w:before="50"/>
      </w:pPr>
      <w:r>
        <w:rPr>
          <w:rFonts w:ascii="Calibri" w:cs="Calibri" w:eastAsia="Calibri" w:hAnsi="Calibri"/>
          <w:b w:val="false"/>
          <w:bCs w:val="false"/>
          <w:color w:val="16130F"/>
          <w:sz w:val="21"/>
          <w:szCs w:val="21"/>
        </w:rPr>
        <w:t xml:space="preserve">A collaborative, growth-focused workplace at a fast-growing telematics company</w:t>
      </w:r>
    </w:p>
    <w:p>
      <w:pPr>
        <w:spacing w:after="30" w:before="260"/>
      </w:pPr>
      <w:r>
        <w:rPr>
          <w:rFonts w:ascii="Georgia" w:cs="Georgia" w:eastAsia="Georgia" w:hAnsi="Georgia"/>
          <w:b/>
          <w:bCs/>
          <w:color w:val="16130F"/>
          <w:sz w:val="26"/>
          <w:szCs w:val="26"/>
        </w:rPr>
        <w:t xml:space="preserve">How to Apply</w:t>
      </w:r>
    </w:p>
    <w:p>
      <w:pPr>
        <w:pBdr>
          <w:bottom w:val="single" w:color="C0703C" w:sz="14" w:space="1"/>
        </w:pBdr>
        <w:spacing w:after="120" w:before="0"/>
      </w:pPr>
      <w:r>
        <w:rPr>
          <w:sz w:val="2"/>
          <w:szCs w:val="2"/>
        </w:rPr>
        <w:t xml:space="preserve"/>
      </w:r>
    </w:p>
    <w:p>
      <w:pPr>
        <w:spacing w:after="60" w:before="60"/>
      </w:pPr>
      <w:r>
        <w:rPr>
          <w:rFonts w:ascii="Calibri" w:cs="Calibri" w:eastAsia="Calibri" w:hAnsi="Calibri"/>
          <w:sz w:val="21"/>
          <w:szCs w:val="21"/>
        </w:rPr>
        <w:t xml:space="preserve">Email your CV to </w:t>
      </w:r>
      <w:r>
        <w:rPr>
          <w:rFonts w:ascii="Calibri" w:cs="Calibri" w:eastAsia="Calibri" w:hAnsi="Calibri"/>
          <w:b/>
          <w:bCs/>
          <w:color w:val="A85C2E"/>
          <w:sz w:val="21"/>
          <w:szCs w:val="21"/>
        </w:rPr>
        <w:t xml:space="preserve">hr@ansitindia.com</w:t>
      </w:r>
      <w:r>
        <w:rPr>
          <w:rFonts w:ascii="Calibri" w:cs="Calibri" w:eastAsia="Calibri" w:hAnsi="Calibri"/>
          <w:sz w:val="21"/>
          <w:szCs w:val="21"/>
        </w:rPr>
        <w:t xml:space="preserve"> with the subject line </w:t>
      </w:r>
      <w:r>
        <w:rPr>
          <w:rFonts w:ascii="Calibri" w:cs="Calibri" w:eastAsia="Calibri" w:hAnsi="Calibri"/>
          <w:sz w:val="21"/>
          <w:szCs w:val="21"/>
        </w:rPr>
        <w:t xml:space="preserve">“Application — Procurement Executive”</w:t>
      </w:r>
    </w:p>
    <w:p>
      <w:pPr>
        <w:spacing w:after="60" w:before="40"/>
      </w:pPr>
      <w:r>
        <w:rPr>
          <w:rFonts w:ascii="Calibri" w:cs="Calibri" w:eastAsia="Calibri" w:hAnsi="Calibri"/>
          <w:sz w:val="21"/>
          <w:szCs w:val="21"/>
        </w:rPr>
        <w:t xml:space="preserve">Learn more about us: </w:t>
      </w:r>
      <w:hyperlink w:history="1" r:id="rId4cb2mejh48_k1gayzadqp">
        <w:r>
          <w:rPr>
            <w:rFonts w:ascii="Calibri" w:cs="Calibri" w:eastAsia="Calibri" w:hAnsi="Calibri"/>
            <w:b/>
            <w:bCs/>
            <w:color w:val="A85C2E"/>
            <w:sz w:val="21"/>
            <w:szCs w:val="21"/>
            <w:u w:val="single"/>
          </w:rPr>
          <w:t xml:space="preserve">ansitindia.com/about-us</w:t>
        </w:r>
      </w:hyperlink>
    </w:p>
    <w:p>
      <w:pPr>
        <w:pBdr>
          <w:left w:val="single" w:color="C0703C" w:sz="16" w:space="4"/>
        </w:pBdr>
        <w:shd w:fill="F3F1EE" w:val="clear"/>
        <w:spacing w:after="40" w:before="160"/>
      </w:pPr>
      <w:r>
        <w:rPr>
          <w:rFonts w:ascii="Calibri" w:cs="Calibri" w:eastAsia="Calibri" w:hAnsi="Calibri"/>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headerReference w:type="default" r:id="rId7"/>
      <w:footerReference w:type="default" r:id="rId8"/>
      <w:pgSz w:w="12240" w:h="15840" w:orient="portrait"/>
      <w:pgMar w:top="11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0703C" w:sz="10" w:space="8"/>
      </w:pBdr>
      <w:tabs>
        <w:tab w:val="center" w:pos="4680"/>
        <w:tab w:val="right" w:pos="9360"/>
      </w:tabs>
      <w:spacing w:before="0"/>
    </w:pPr>
    <w:r>
      <w:rPr>
        <w:rFonts w:ascii="Calibri" w:cs="Calibri" w:eastAsia="Calibri" w:hAnsi="Calibri"/>
        <w:b/>
        <w:bCs/>
        <w:color w:val="A85C2E"/>
        <w:sz w:val="16"/>
        <w:szCs w:val="16"/>
      </w:rPr>
      <w:t xml:space="preserve">www.ansitindia.com</w:t>
    </w:r>
    <w:r>
      <w:rPr>
        <w:rFonts w:ascii="Calibri" w:cs="Calibri" w:eastAsia="Calibri" w:hAnsi="Calibri"/>
      </w:rPr>
      <w:tab/>
    </w:r>
    <w:r>
      <w:rPr>
        <w:rFonts w:ascii="Calibri" w:cs="Calibri" w:eastAsia="Calibri" w:hAnsi="Calibri"/>
        <w:color w:val="6B6B6B"/>
        <w:sz w:val="13"/>
        <w:szCs w:val="13"/>
      </w:rPr>
      <w:t xml:space="preserve">607, Luxuria Trade Hub, Dumas, Udhana–Magdalla Rd, Surat, Gujarat 395007</w:t>
    </w:r>
    <w:r>
      <w:rPr>
        <w:rFonts w:ascii="Calibri" w:cs="Calibri" w:eastAsia="Calibri" w:hAnsi="Calibri"/>
      </w:rPr>
      <w:tab/>
    </w:r>
    <w:r>
      <w:rPr>
        <w:rFonts w:ascii="Calibri" w:cs="Calibri" w:eastAsia="Calibri" w:hAnsi="Calibri"/>
        <w:color w:val="6B6B6B"/>
        <w:sz w:val="15"/>
        <w:szCs w:val="15"/>
      </w:rPr>
      <w:t xml:space="preserve">Page </w:t>
    </w:r>
    <w:r>
      <w:rPr>
        <w:rFonts w:ascii="Calibri" w:cs="Calibri" w:eastAsia="Calibri" w:hAnsi="Calibri"/>
        <w:color w:val="6B6B6B"/>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703C" w:sz="10" w:space="8"/>
      </w:pBdr>
      <w:tabs>
        <w:tab w:val="right" w:pos="9360"/>
      </w:tabs>
      <w:spacing w:after="0"/>
    </w:pPr>
    <w:r>
      <w:rPr>
        <w:rFonts w:ascii="Georgia" w:cs="Georgia" w:eastAsia="Georgia" w:hAnsi="Georgia"/>
        <w:b/>
        <w:bCs/>
        <w:color w:val="16130F"/>
        <w:sz w:val="17"/>
        <w:szCs w:val="17"/>
      </w:rPr>
      <w:t xml:space="preserve">ANS IT India Pvt. Ltd.</w:t>
    </w:r>
    <w:r>
      <w:rPr>
        <w:rFonts w:ascii="Calibri" w:cs="Calibri" w:eastAsia="Calibri" w:hAnsi="Calibri"/>
      </w:rPr>
      <w:tab/>
    </w:r>
    <w:r>
      <w:rPr>
        <w:rFonts w:ascii="Calibri" w:cs="Calibri" w:eastAsia="Calibri" w:hAnsi="Calibri"/>
        <w:b/>
        <w:bCs/>
        <w:color w:val="C0703C"/>
        <w:sz w:val="15"/>
        <w:szCs w:val="15"/>
      </w:rPr>
      <w:t xml:space="preserve">JOB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color w:val="C0703C"/>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4cb2mejh48_k1gayzadqp" Type="http://schemas.openxmlformats.org/officeDocument/2006/relationships/hyperlink" Target="https://ansitindia.com/about-us-2/" TargetMode="External"/><Relationship Id="rId9" Type="http://schemas.openxmlformats.org/officeDocument/2006/relationships/image" Target="media/9f4c873e550b3143bf766469a587ea0cc693ac1d.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Un-named</cp:lastModifiedBy>
  <cp:revision>1</cp:revision>
  <dcterms:created xsi:type="dcterms:W3CDTF">2026-06-13T12:33:41.235Z</dcterms:created>
  <dcterms:modified xsi:type="dcterms:W3CDTF">2026-06-13T12:33:41.235Z</dcterms:modified>
</cp:coreProperties>
</file>

<file path=docProps/custom.xml><?xml version="1.0" encoding="utf-8"?>
<Properties xmlns="http://schemas.openxmlformats.org/officeDocument/2006/custom-properties" xmlns:vt="http://schemas.openxmlformats.org/officeDocument/2006/docPropsVTypes"/>
</file>